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63"/>
      </w:tblGrid>
      <w:tr w:rsidR="00286A68" w:rsidTr="00286A68">
        <w:tc>
          <w:tcPr>
            <w:tcW w:w="9963" w:type="dxa"/>
            <w:shd w:val="clear" w:color="auto" w:fill="auto"/>
          </w:tcPr>
          <w:p w:rsidR="00286A68" w:rsidRDefault="00286A68">
            <w:pPr>
              <w:spacing w:after="0"/>
              <w:rPr>
                <w:color w:val="0C0000"/>
                <w:sz w:val="24"/>
              </w:rPr>
            </w:pPr>
            <w:bookmarkStart w:id="0" w:name="_GoBack"/>
            <w:bookmarkEnd w:id="0"/>
            <w:r>
              <w:rPr>
                <w:color w:val="0C0000"/>
                <w:sz w:val="24"/>
              </w:rPr>
              <w:t>№ исх: 08-06/667   от: 19.02.2020</w:t>
            </w:r>
          </w:p>
          <w:p w:rsidR="00286A68" w:rsidRPr="00286A68" w:rsidRDefault="00286A68">
            <w:pPr>
              <w:spacing w:after="0"/>
              <w:rPr>
                <w:color w:val="0C0000"/>
                <w:sz w:val="24"/>
              </w:rPr>
            </w:pPr>
            <w:r>
              <w:rPr>
                <w:color w:val="0C0000"/>
                <w:sz w:val="24"/>
              </w:rPr>
              <w:t>№ вх: 253   от: 20.02.2020</w:t>
            </w:r>
          </w:p>
        </w:tc>
      </w:tr>
    </w:tbl>
    <w:p w:rsidR="00637C01" w:rsidRDefault="005B50F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C01" w:rsidRPr="005B50FE" w:rsidRDefault="005B50FE">
      <w:pPr>
        <w:spacing w:after="0"/>
        <w:rPr>
          <w:lang w:val="ru-RU"/>
        </w:rPr>
      </w:pPr>
      <w:r w:rsidRPr="005B50FE">
        <w:rPr>
          <w:b/>
          <w:color w:val="000000"/>
          <w:sz w:val="28"/>
          <w:lang w:val="ru-RU"/>
        </w:rPr>
        <w:t>Об определении видов и объемов помощи, предоставляемой в рамках гарантированного социального пакета</w:t>
      </w:r>
    </w:p>
    <w:p w:rsidR="00637C01" w:rsidRPr="005B50FE" w:rsidRDefault="005B50FE">
      <w:pPr>
        <w:spacing w:after="0"/>
        <w:jc w:val="both"/>
        <w:rPr>
          <w:lang w:val="ru-RU"/>
        </w:rPr>
      </w:pPr>
      <w:r w:rsidRPr="005B50FE">
        <w:rPr>
          <w:color w:val="000000"/>
          <w:sz w:val="28"/>
          <w:lang w:val="ru-RU"/>
        </w:rPr>
        <w:t>Постановление Правительства Республики Казахстан от 30 декабря 2019 года № 1032.</w:t>
      </w:r>
    </w:p>
    <w:p w:rsidR="00637C01" w:rsidRPr="0070676F" w:rsidRDefault="005B50FE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0676F">
        <w:rPr>
          <w:color w:val="FF0000"/>
          <w:sz w:val="28"/>
          <w:lang w:val="ru-RU"/>
        </w:rPr>
        <w:t>Примечание ИЗПИ!</w:t>
      </w:r>
      <w:r w:rsidRPr="0070676F">
        <w:rPr>
          <w:lang w:val="ru-RU"/>
        </w:rPr>
        <w:br/>
      </w:r>
      <w:r w:rsidRPr="0070676F">
        <w:rPr>
          <w:color w:val="FF0000"/>
          <w:sz w:val="28"/>
          <w:lang w:val="ru-RU"/>
        </w:rPr>
        <w:t>Вводится в действие с 01.01.2020.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1" w:name="z4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В соответствии с пунктом 1-1 статьи 7 Закона Республики Казахстан от 17 июля 2001 года "О государственной адресной социальной помощи" Правительство Республики Казахстан </w:t>
      </w:r>
      <w:r w:rsidRPr="0070676F">
        <w:rPr>
          <w:b/>
          <w:color w:val="000000"/>
          <w:sz w:val="28"/>
          <w:lang w:val="ru-RU"/>
        </w:rPr>
        <w:t>ПОСТАНОВЛЯЕТ: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2" w:name="z5"/>
      <w:bookmarkEnd w:id="1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1. Определить виды и объемы помощи, предоставляемой в рамках гарантированного социального пакета, согласно приложению к настоящему постановлению.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2. Настоящее постановление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Look w:val="04A0"/>
      </w:tblPr>
      <w:tblGrid>
        <w:gridCol w:w="6019"/>
        <w:gridCol w:w="15"/>
        <w:gridCol w:w="3453"/>
        <w:gridCol w:w="290"/>
      </w:tblGrid>
      <w:tr w:rsidR="00637C0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37C01" w:rsidRDefault="005B50FE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0676F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637C01" w:rsidRPr="007067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center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Приложение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от 30 декабря 2019 года № 1032</w:t>
            </w:r>
          </w:p>
        </w:tc>
      </w:tr>
    </w:tbl>
    <w:p w:rsidR="00637C01" w:rsidRPr="0070676F" w:rsidRDefault="005B50FE">
      <w:pPr>
        <w:spacing w:after="0"/>
        <w:rPr>
          <w:lang w:val="ru-RU"/>
        </w:rPr>
      </w:pPr>
      <w:bookmarkStart w:id="4" w:name="z9"/>
      <w:r w:rsidRPr="0070676F">
        <w:rPr>
          <w:b/>
          <w:color w:val="000000"/>
          <w:lang w:val="ru-RU"/>
        </w:rPr>
        <w:t xml:space="preserve"> Виды и объемы помощи, предоставляемой в рамках гарантированного социального пакета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5" w:name="z10"/>
      <w:bookmarkEnd w:id="4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1</w:t>
      </w:r>
      <w:r w:rsidRPr="0070676F">
        <w:rPr>
          <w:color w:val="000000"/>
          <w:sz w:val="28"/>
          <w:shd w:val="clear" w:color="auto" w:fill="FFFF00"/>
          <w:lang w:val="ru-RU"/>
        </w:rPr>
        <w:t>. Гарантированный социальный пакет предоставляется малообеспеченным семьям из числа получателей безусловной или обусловленной денежной помощи в соответствии с Законом Республики Казахстан от 17 июля 2001 года "О государственной адресной социальной помощи":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1) имеющим детей в возрасте от одного года до шести лет, - на период назначения адресной социальной помощи;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2) имеющим детей в возрасте от шести до восемнадцати лет, обучающихся в организациях среднего образования, - в период соответствующего учебного года.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8" w:name="z13"/>
      <w:bookmarkEnd w:id="7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2. Гарантированный социальный пакет для детей в возрасте от одного года до шести лет предоставляется в видах и объемах помощи гарантированного социального пакета, предоставляемого малообеспеченным семьям, имеющим детей в возрасте от одного года до шести лет, согласно приложению 1 к </w:t>
      </w:r>
      <w:r w:rsidRPr="0070676F">
        <w:rPr>
          <w:color w:val="000000"/>
          <w:sz w:val="28"/>
          <w:lang w:val="ru-RU"/>
        </w:rPr>
        <w:lastRenderedPageBreak/>
        <w:t>настоящим видам, и объемам помощи, предоставляемым в рамках гарантированного социального пакета.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3. Гарантированный социальный пакет для детей в возрасте от шести до восемнадцати лет, обучающихся в организациях среднего образования, включает в себя: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10" w:name="z15"/>
      <w:bookmarkEnd w:id="9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1) комплект школьной формы либо спортивной формы и комплект школьно-письменных принадлежностей в видах и объемах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образования, согласно приложению 2 к настоящим видам и объемам помощи, предоставляемым в рамках гарантированного социального пакета;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2) одноразовое горячее питание по месту обучения в учебные дни в период учебного года согласно нормам, установленным уполномоченным органом в области здравоохранения;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3)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транспорте.</w:t>
      </w:r>
    </w:p>
    <w:p w:rsidR="00637C01" w:rsidRPr="0070676F" w:rsidRDefault="005B50FE" w:rsidP="0070676F">
      <w:pPr>
        <w:shd w:val="clear" w:color="auto" w:fill="FFFF00"/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4. Для детей в возрасте от одного года до восемнадцати лет медицинская помощь, в том числе стоматологическая, предоставляется в рамках гарантированного объема бесплатной медицинской помощи и в системе обязательного социального медицинского страхования по видам и объемам в соответствии с законодательством в сфере здравоохранения.</w:t>
      </w:r>
    </w:p>
    <w:bookmarkEnd w:id="13"/>
    <w:p w:rsidR="00637C01" w:rsidRPr="0070676F" w:rsidRDefault="005B50FE" w:rsidP="0070676F">
      <w:pPr>
        <w:shd w:val="clear" w:color="auto" w:fill="FFFF00"/>
        <w:spacing w:after="0"/>
        <w:rPr>
          <w:lang w:val="ru-RU"/>
        </w:rPr>
      </w:pPr>
      <w:r w:rsidRPr="0070676F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637C01" w:rsidRPr="007067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center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Приложение 1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к видам и объемам помощи,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предоставляемой в рамках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гарантированного социального пакета</w:t>
            </w:r>
          </w:p>
        </w:tc>
      </w:tr>
    </w:tbl>
    <w:p w:rsidR="00637C01" w:rsidRPr="0070676F" w:rsidRDefault="005B50FE" w:rsidP="0070676F">
      <w:pPr>
        <w:shd w:val="clear" w:color="auto" w:fill="92D050"/>
        <w:spacing w:after="0"/>
        <w:rPr>
          <w:lang w:val="ru-RU"/>
        </w:rPr>
      </w:pPr>
      <w:bookmarkStart w:id="14" w:name="z20"/>
      <w:r w:rsidRPr="0070676F">
        <w:rPr>
          <w:b/>
          <w:color w:val="000000"/>
          <w:lang w:val="ru-RU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одного года до шести лет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35"/>
        <w:gridCol w:w="4134"/>
        <w:gridCol w:w="1393"/>
      </w:tblGrid>
      <w:tr w:rsidR="00637C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637C01" w:rsidRDefault="005B50FE" w:rsidP="0070676F">
            <w:pPr>
              <w:shd w:val="clear" w:color="auto" w:fill="92D050"/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Категория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 w:rsidP="0070676F">
            <w:pPr>
              <w:shd w:val="clear" w:color="auto" w:fill="92D050"/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Вид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 w:rsidP="0070676F">
            <w:pPr>
              <w:shd w:val="clear" w:color="auto" w:fill="92D050"/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Объем</w:t>
            </w:r>
          </w:p>
        </w:tc>
      </w:tr>
      <w:tr w:rsidR="00637C01">
        <w:trPr>
          <w:gridAfter w:val="2"/>
          <w:wAfter w:w="6898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 w:rsidP="0070676F">
            <w:pPr>
              <w:shd w:val="clear" w:color="auto" w:fill="92D050"/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1. Продуктовый набор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 w:rsidP="0070676F">
            <w:pPr>
              <w:shd w:val="clear" w:color="auto" w:fill="92D050"/>
              <w:spacing w:after="0"/>
              <w:jc w:val="both"/>
              <w:rPr>
                <w:lang w:val="ru-RU"/>
              </w:rPr>
            </w:pPr>
            <w:r w:rsidRPr="0070676F">
              <w:rPr>
                <w:b/>
                <w:color w:val="000000"/>
                <w:sz w:val="20"/>
                <w:lang w:val="ru-RU"/>
              </w:rPr>
              <w:t>Дети в возрасте от одного года до трех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 w:rsidP="0070676F">
            <w:pPr>
              <w:shd w:val="clear" w:color="auto" w:fill="92D050"/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Пюре фруктовое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 w:rsidP="0070676F">
            <w:pPr>
              <w:shd w:val="clear" w:color="auto" w:fill="92D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600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 w:rsidP="0070676F">
            <w:pPr>
              <w:shd w:val="clear" w:color="auto" w:fill="92D050"/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Пюре овощное гипоаллергенное (в заводской упаковке в объеме от 50 до 100 грамм, разрешенное к употреблению для детей от шести месяцев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 w:rsidP="0070676F">
            <w:pPr>
              <w:shd w:val="clear" w:color="auto" w:fill="92D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610 грамм</w:t>
            </w:r>
          </w:p>
        </w:tc>
      </w:tr>
      <w:tr w:rsidR="00637C01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 w:rsidP="0070676F">
            <w:pPr>
              <w:shd w:val="clear" w:color="auto" w:fill="92D050"/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 xml:space="preserve">Детская каша гипоаллергенная для детей (в заводской упаковке, разрешенная к </w:t>
            </w:r>
            <w:r w:rsidRPr="0070676F">
              <w:rPr>
                <w:color w:val="000000"/>
                <w:sz w:val="20"/>
                <w:lang w:val="ru-RU"/>
              </w:rPr>
              <w:lastRenderedPageBreak/>
              <w:t>употреблению для детей от шести месяцев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 w:rsidP="0070676F">
            <w:pPr>
              <w:shd w:val="clear" w:color="auto" w:fill="92D050"/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не менее 320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lastRenderedPageBreak/>
              <w:t>Крупа кукурузная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Детское печенье для детей (в заводской упаковке, разрешенное к употреблению для детей от одного года до трех лет)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180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 w:rsidRPr="0070676F">
              <w:rPr>
                <w:color w:val="000000"/>
                <w:sz w:val="20"/>
                <w:lang w:val="ru-RU"/>
              </w:rPr>
              <w:t xml:space="preserve">Молоко детское пастеризованное в заводской упаковке жирностью </w:t>
            </w:r>
            <w:r>
              <w:rPr>
                <w:color w:val="000000"/>
                <w:sz w:val="20"/>
              </w:rPr>
              <w:t>2,5 %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 литров</w:t>
            </w:r>
          </w:p>
        </w:tc>
      </w:tr>
      <w:tr w:rsidR="00637C01" w:rsidTr="0070676F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both"/>
              <w:rPr>
                <w:lang w:val="ru-RU"/>
              </w:rPr>
            </w:pPr>
            <w:r w:rsidRPr="0070676F">
              <w:rPr>
                <w:b/>
                <w:color w:val="000000"/>
                <w:sz w:val="20"/>
                <w:lang w:val="ru-RU"/>
              </w:rPr>
              <w:t>Дети в возрасте от трех до шести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 w:rsidRPr="0070676F">
              <w:rPr>
                <w:color w:val="000000"/>
                <w:sz w:val="20"/>
                <w:lang w:val="ru-RU"/>
              </w:rPr>
              <w:t xml:space="preserve">Молоко детское пастеризованное в заводской упаковке жирностью </w:t>
            </w:r>
            <w:r>
              <w:rPr>
                <w:color w:val="000000"/>
                <w:sz w:val="20"/>
              </w:rPr>
              <w:t>2,5%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 литров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Макароны твердых сортов пшеницы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Хлопья овсяные фасованные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Масло подсолнечное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0,8 литров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Гематоген классический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240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Молочные подушечки для завтрака с содержанием цельных злаков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250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Детское печенье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Крупа перловая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кг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Крупа гречневая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1,6 кг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Горох колотый фасованный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Крупа манная фасованная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700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Мед натуральный в заводской упаковке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200 грамм</w:t>
            </w:r>
          </w:p>
        </w:tc>
      </w:tr>
      <w:tr w:rsidR="00637C01" w:rsidTr="0070676F">
        <w:trPr>
          <w:gridAfter w:val="2"/>
          <w:wAfter w:w="6898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2. Набор товаров бытовой химии</w:t>
            </w:r>
          </w:p>
        </w:tc>
      </w:tr>
      <w:tr w:rsidR="00637C01" w:rsidTr="0070676F">
        <w:trPr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both"/>
              <w:rPr>
                <w:lang w:val="ru-RU"/>
              </w:rPr>
            </w:pPr>
            <w:r w:rsidRPr="0070676F">
              <w:rPr>
                <w:b/>
                <w:color w:val="000000"/>
                <w:sz w:val="20"/>
                <w:lang w:val="ru-RU"/>
              </w:rPr>
              <w:t>Дети в возрасте от одного года до шести лет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зубная паста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50 миллилитров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зубная щетка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 единицы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Детское мыло гипоаллергенное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180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шампунь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200 миллилитров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крем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45 миллилитров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хозяйственное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200 грамм</w:t>
            </w:r>
          </w:p>
        </w:tc>
      </w:tr>
      <w:tr w:rsidR="00637C01" w:rsidTr="0070676F">
        <w:trPr>
          <w:gridAfter w:val="1"/>
          <w:wAfter w:w="1496" w:type="dxa"/>
          <w:trHeight w:val="30"/>
          <w:tblCellSpacing w:w="0" w:type="auto"/>
        </w:trPr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стиральный порошок</w:t>
            </w:r>
          </w:p>
        </w:tc>
        <w:tc>
          <w:tcPr>
            <w:tcW w:w="5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800 грамм</w:t>
            </w:r>
          </w:p>
        </w:tc>
      </w:tr>
    </w:tbl>
    <w:p w:rsidR="00637C01" w:rsidRDefault="005B50FE">
      <w:pPr>
        <w:spacing w:after="0"/>
        <w:jc w:val="both"/>
      </w:pPr>
      <w:bookmarkStart w:id="15" w:name="z21"/>
      <w:r>
        <w:rPr>
          <w:color w:val="000000"/>
          <w:sz w:val="28"/>
        </w:rPr>
        <w:t>      Примечание: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16" w:name="z22"/>
      <w:bookmarkEnd w:id="15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1) продуктовый набор должен отвечать требованиям безопасности пищевой продукции при ее хранении и транспортировке, установленным в Законе </w:t>
      </w:r>
      <w:r w:rsidRPr="0070676F">
        <w:rPr>
          <w:color w:val="000000"/>
          <w:sz w:val="28"/>
          <w:lang w:val="ru-RU"/>
        </w:rPr>
        <w:lastRenderedPageBreak/>
        <w:t>Республики Казахстан от 21 июля 2007 года "О безопасности пищевой продукции";</w:t>
      </w:r>
    </w:p>
    <w:p w:rsidR="00637C01" w:rsidRPr="0070676F" w:rsidRDefault="005B50FE">
      <w:pPr>
        <w:spacing w:after="0"/>
        <w:jc w:val="both"/>
        <w:rPr>
          <w:lang w:val="ru-RU"/>
        </w:rPr>
      </w:pPr>
      <w:bookmarkStart w:id="17" w:name="z23"/>
      <w:bookmarkEnd w:id="16"/>
      <w:r w:rsidRPr="0070676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676F">
        <w:rPr>
          <w:color w:val="000000"/>
          <w:sz w:val="28"/>
          <w:lang w:val="ru-RU"/>
        </w:rPr>
        <w:t xml:space="preserve"> 2) набор товаров бытовой химии должен отвечать требованиям безопасности и качества при ее хранении и транспортировке технического регламента "Требования к безопасности синтетических моющих средств и товаров бытовой химии", утвержденного постановлением Правительства Республики Казахстан от 4 марта 2008 года № 217.</w:t>
      </w:r>
    </w:p>
    <w:tbl>
      <w:tblPr>
        <w:tblW w:w="0" w:type="auto"/>
        <w:tblCellSpacing w:w="0" w:type="auto"/>
        <w:tblLook w:val="04A0"/>
      </w:tblPr>
      <w:tblGrid>
        <w:gridCol w:w="5912"/>
        <w:gridCol w:w="3865"/>
      </w:tblGrid>
      <w:tr w:rsidR="00637C01" w:rsidRPr="007067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637C01" w:rsidRPr="0070676F" w:rsidRDefault="005B50F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center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Приложение 2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к видам и объемам помощи,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предоставляемой в рамках</w:t>
            </w:r>
            <w:r w:rsidRPr="0070676F">
              <w:rPr>
                <w:lang w:val="ru-RU"/>
              </w:rPr>
              <w:br/>
            </w:r>
            <w:r w:rsidRPr="0070676F">
              <w:rPr>
                <w:color w:val="000000"/>
                <w:sz w:val="20"/>
                <w:lang w:val="ru-RU"/>
              </w:rPr>
              <w:t>гарантированного социального пакета</w:t>
            </w:r>
          </w:p>
        </w:tc>
      </w:tr>
    </w:tbl>
    <w:p w:rsidR="00637C01" w:rsidRPr="0070676F" w:rsidRDefault="005B50FE">
      <w:pPr>
        <w:spacing w:after="0"/>
        <w:rPr>
          <w:lang w:val="ru-RU"/>
        </w:rPr>
      </w:pPr>
      <w:bookmarkStart w:id="18" w:name="z25"/>
      <w:r w:rsidRPr="0070676F">
        <w:rPr>
          <w:b/>
          <w:color w:val="000000"/>
          <w:lang w:val="ru-RU"/>
        </w:rPr>
        <w:t xml:space="preserve"> Виды и объемы помощи гарантированного социального пакета, предоставляемой малообеспеченным семьям, имеющим детей в возрасте от шести до восемнадцати лет, обучающихся в организациях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33"/>
        <w:gridCol w:w="3316"/>
        <w:gridCol w:w="1713"/>
      </w:tblGrid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Категория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Вид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Объем</w:t>
            </w:r>
            <w:r>
              <w:br/>
            </w:r>
            <w:r>
              <w:rPr>
                <w:b/>
                <w:color w:val="000000"/>
                <w:sz w:val="20"/>
              </w:rPr>
              <w:t>(единиц)</w:t>
            </w:r>
          </w:p>
        </w:tc>
      </w:tr>
      <w:tr w:rsidR="00637C0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1. Комплект школьной формы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</w:t>
            </w:r>
            <w:r>
              <w:br/>
            </w:r>
            <w:r>
              <w:rPr>
                <w:b/>
                <w:color w:val="000000"/>
                <w:sz w:val="20"/>
              </w:rPr>
              <w:t>мальчиков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Жилет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или водолазка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Для девочек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Пиджак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Жилет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Юбка или сарафан (брюки)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или водолазка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Или</w:t>
            </w:r>
            <w:r>
              <w:br/>
            </w:r>
            <w:r>
              <w:rPr>
                <w:b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b/>
                <w:color w:val="000000"/>
                <w:sz w:val="20"/>
              </w:rPr>
              <w:t>форма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Спортивный костюм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Спортивная обувь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2"/>
          <w:wAfter w:w="6351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2. Комплект школьно-письменных принадлежностей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both"/>
              <w:rPr>
                <w:lang w:val="ru-RU"/>
              </w:rPr>
            </w:pPr>
            <w:r w:rsidRPr="0070676F">
              <w:rPr>
                <w:b/>
                <w:color w:val="000000"/>
                <w:sz w:val="20"/>
                <w:lang w:val="ru-RU"/>
              </w:rPr>
              <w:t>Для обучающихся с 1 по 4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тетради (12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 для рисования (24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Шариковая ручка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карандаш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Акварельные краски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Ластик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Для</w:t>
            </w:r>
            <w:r>
              <w:br/>
            </w:r>
            <w:r>
              <w:rPr>
                <w:b/>
                <w:color w:val="000000"/>
                <w:sz w:val="20"/>
              </w:rPr>
              <w:t>обучающихся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тетради (12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 5 по 9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тетрадь (24 листов)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 для рисования (48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Шариковая ручка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карандаш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Ластик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0"/>
              <w:jc w:val="both"/>
              <w:rPr>
                <w:lang w:val="ru-RU"/>
              </w:rPr>
            </w:pPr>
            <w:r w:rsidRPr="0070676F">
              <w:rPr>
                <w:b/>
                <w:color w:val="000000"/>
                <w:sz w:val="20"/>
                <w:lang w:val="ru-RU"/>
              </w:rPr>
              <w:t>Для обучающихся с 10 по 11 классы включительно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Рюкзак (для девочки или мальчика)</w:t>
            </w:r>
          </w:p>
        </w:tc>
        <w:tc>
          <w:tcPr>
            <w:tcW w:w="2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тетради (12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тетрадь (36 листов)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Пенал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Шариковая ручка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карандаш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Pr="0070676F" w:rsidRDefault="005B50FE">
            <w:pPr>
              <w:spacing w:after="20"/>
              <w:ind w:left="20"/>
              <w:jc w:val="both"/>
              <w:rPr>
                <w:lang w:val="ru-RU"/>
              </w:rPr>
            </w:pPr>
            <w:r w:rsidRPr="0070676F">
              <w:rPr>
                <w:color w:val="000000"/>
                <w:sz w:val="20"/>
                <w:lang w:val="ru-RU"/>
              </w:rPr>
              <w:t>Обложки (для тетрадей и (или) книг)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Линейка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Циркуль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37C01">
        <w:trPr>
          <w:gridAfter w:val="1"/>
          <w:wAfter w:w="2108" w:type="dxa"/>
          <w:trHeight w:val="30"/>
          <w:tblCellSpacing w:w="0" w:type="auto"/>
        </w:trPr>
        <w:tc>
          <w:tcPr>
            <w:tcW w:w="5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Ластик</w:t>
            </w:r>
          </w:p>
        </w:tc>
        <w:tc>
          <w:tcPr>
            <w:tcW w:w="4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7C01" w:rsidRDefault="005B5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37C01" w:rsidRDefault="005B50FE">
      <w:pPr>
        <w:spacing w:after="0"/>
      </w:pPr>
      <w:r>
        <w:br/>
      </w:r>
    </w:p>
    <w:p w:rsidR="00637C01" w:rsidRDefault="005B50FE">
      <w:pPr>
        <w:spacing w:after="0"/>
      </w:pPr>
      <w:r>
        <w:br/>
      </w:r>
      <w:r>
        <w:br/>
      </w:r>
    </w:p>
    <w:p w:rsidR="00637C01" w:rsidRPr="0070676F" w:rsidRDefault="005B50FE">
      <w:pPr>
        <w:pStyle w:val="disclaimer"/>
        <w:rPr>
          <w:lang w:val="ru-RU"/>
        </w:rPr>
      </w:pPr>
      <w:r w:rsidRPr="0070676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37C01" w:rsidRPr="0070676F" w:rsidSect="00144AEC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D5" w:rsidRDefault="00B810D5" w:rsidP="00286A68">
      <w:pPr>
        <w:spacing w:after="0" w:line="240" w:lineRule="auto"/>
      </w:pPr>
      <w:r>
        <w:separator/>
      </w:r>
    </w:p>
  </w:endnote>
  <w:endnote w:type="continuationSeparator" w:id="1">
    <w:p w:rsidR="00B810D5" w:rsidRDefault="00B810D5" w:rsidP="0028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D5" w:rsidRDefault="00B810D5" w:rsidP="00286A68">
      <w:pPr>
        <w:spacing w:after="0" w:line="240" w:lineRule="auto"/>
      </w:pPr>
      <w:r>
        <w:separator/>
      </w:r>
    </w:p>
  </w:footnote>
  <w:footnote w:type="continuationSeparator" w:id="1">
    <w:p w:rsidR="00B810D5" w:rsidRDefault="00B810D5" w:rsidP="0028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68" w:rsidRDefault="00144AEC">
    <w:pPr>
      <w:pStyle w:val="a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35pt;margin-top:48.2pt;width:30pt;height:63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" stroked="f">
          <v:textbox style="layout-flow:vertical;mso-layout-flow-alt:bottom-to-top">
            <w:txbxContent>
              <w:p w:rsidR="00286A68" w:rsidRPr="00286A68" w:rsidRDefault="00286A68">
                <w:pPr>
                  <w:rPr>
                    <w:color w:val="0C0000"/>
                    <w:sz w:val="14"/>
                  </w:rPr>
                </w:pPr>
                <w:r w:rsidRPr="0070676F">
                  <w:rPr>
                    <w:color w:val="0C0000"/>
                    <w:sz w:val="14"/>
                    <w:lang w:val="ru-RU"/>
                  </w:rPr>
                  <w:t xml:space="preserve">19.03.2020 ЕСЭДО ГО (версия 7.23.0)  Копия электронного документа. </w:t>
                </w:r>
                <w:r>
                  <w:rPr>
                    <w:color w:val="0C0000"/>
                    <w:sz w:val="14"/>
                  </w:rPr>
                  <w:t xml:space="preserve">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7C01"/>
    <w:rsid w:val="00144AEC"/>
    <w:rsid w:val="00286A68"/>
    <w:rsid w:val="005A2132"/>
    <w:rsid w:val="005B50FE"/>
    <w:rsid w:val="00637C01"/>
    <w:rsid w:val="0070676F"/>
    <w:rsid w:val="00B8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44A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44A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44AEC"/>
    <w:pPr>
      <w:jc w:val="center"/>
    </w:pPr>
    <w:rPr>
      <w:sz w:val="18"/>
      <w:szCs w:val="18"/>
    </w:rPr>
  </w:style>
  <w:style w:type="paragraph" w:customStyle="1" w:styleId="DocDefaults">
    <w:name w:val="DocDefaults"/>
    <w:rsid w:val="00144AEC"/>
  </w:style>
  <w:style w:type="paragraph" w:styleId="ae">
    <w:name w:val="Balloon Text"/>
    <w:basedOn w:val="a"/>
    <w:link w:val="af"/>
    <w:uiPriority w:val="99"/>
    <w:semiHidden/>
    <w:unhideWhenUsed/>
    <w:rsid w:val="005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0FE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8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A6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0FE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286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A6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2020-03-19T09:49:00Z</dcterms:created>
  <dcterms:modified xsi:type="dcterms:W3CDTF">2020-03-30T03:44:00Z</dcterms:modified>
</cp:coreProperties>
</file>